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24 77 vom 23. Oktober 2024</w:t>
      </w:r>
    </w:p>
    <w:p>
      <w:r>
        <w:t>VS Kantonsgericht, 2024-10-23, FR</w:t>
      </w:r>
    </w:p>
    <w:p>
      <w:r>
        <w:rPr>
          <w:b/>
        </w:rPr>
        <w:t xml:space="preserve">Quelle: </w:t>
      </w:r>
      <w:r>
        <w:t>https://mcp.opencaselaw.ch/entscheid/vs_gerichte_C2 24 77</w:t>
      </w:r>
    </w:p>
    <w:p>
      <w:r>
        <w:t>FR: VS_GERICHTE C2 24 77 du 23 octobre 2024</w:t>
      </w:r>
    </w:p>
    <w:p>
      <w:r>
        <w:t>IT: VS_GERICHTE C2 24 77 del 23 ottobre 2024</w:t>
      </w:r>
    </w:p>
    <w:p>
      <w:pPr>
        <w:pStyle w:val="Heading2"/>
      </w:pPr>
      <w:r>
        <w:t>Regeste</w:t>
      </w:r>
    </w:p>
    <w:p>
      <w:r>
        <w:t>C2 24 77 DÉCISION DU 23 OCTOBRE 2024 Tribunal cantonal du Valais Autorité de recours en matière de protection de l'enfant et de l'adulte Camille Rey-Mermet, présidente ; Malika Hofer, greffière, en la cause X _________, (France), recourant, représenté par Maître Azzedine Diab, avocat à Monthey, contre Y _________, intimée au recours, représentée par Maître Christophe Quennoz, avocat à Sion. (sûretés en garantie des dépens) recours contre la décision rendue le 19 juin 2024 par l’Autorité de protection de l’enfant et de l’adulte du district de Sierre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septembre 2013 consid. 2.2 et les références ; cf. ég. STOUDMANN, op. cit., n. 34 ad art. 99 CPC et les références) ; qu’en seconde instance, où il n’y a en principe qu’un échange d’écritures, la partie défenderesse a, au moment de déposer sa réponse, déjà accompli l’essentiel de l’activité qu’elle a à déployer devant l’instance concernée ; qu’ainsi, le requérant qui demande des sûretés en déposant simultanément sa réponse sur le recours n’a plus d’intérêt à les obtenir car il a déjà encouru tous les frais susceptibles de justifier des dépens en sa faveur (ATF 118 II 87 consid. 2 ; ATC du 1er décembre 2022 dans la cause C2 22 57) ; que dans le présent cas, l’intimée a requis le versement de sûretés en garantie de ses dépens dans son mémoire-réponse du 16 septembre 2024 ; qu’un second échange d’écritures n’est pas prévu, et ne se justifie au demeurant pas ; que par ailleurs, les motifs invoqués par l’intimée pour fonder l’octroi de sûretés – à savoir le domicile du recourant à l’étranger et le fait qu’il ne se soit pas acquitté des frais des procédures antérieures ni des contributions qu’il doit à l’entretien de ses enfants – étaient connus de longue date ; que la requête est par conséquent irrecevable pour ce motif également ; que les frais de la présente décision, par 300 fr. (art. 13s et 18s LTar), sont mis à la charge de Y _________, qui supporte pour le surplus ses frais d’intervention ; que X _________ n’a pas été invité à se déterminer sur la requête ; qu’il ne peut donc prétendre à des dépens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